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28" w:rsidRDefault="00DD4628" w:rsidP="00DD4628">
      <w:pPr>
        <w:jc w:val="center"/>
        <w:rPr>
          <w:rFonts w:ascii="Bookman Old Style" w:hAnsi="Bookman Old Style"/>
          <w:b/>
          <w:sz w:val="32"/>
          <w:szCs w:val="32"/>
        </w:rPr>
      </w:pPr>
      <w:r w:rsidRPr="00DD4628">
        <w:rPr>
          <w:rFonts w:ascii="Bookman Old Style" w:hAnsi="Bookman Old Style"/>
          <w:b/>
          <w:sz w:val="32"/>
          <w:szCs w:val="32"/>
        </w:rPr>
        <w:t>Grade Recovery Contract</w:t>
      </w:r>
    </w:p>
    <w:p w:rsidR="00DD4628" w:rsidRPr="00BE7624" w:rsidRDefault="00A91265" w:rsidP="00A91265">
      <w:pPr>
        <w:rPr>
          <w:rFonts w:ascii="Bookman Old Style" w:hAnsi="Bookman Old Style"/>
          <w:sz w:val="23"/>
          <w:szCs w:val="23"/>
        </w:rPr>
      </w:pPr>
      <w:r w:rsidRPr="00BE7624">
        <w:rPr>
          <w:rFonts w:ascii="Bookman Old Style" w:hAnsi="Bookman Old Style"/>
          <w:sz w:val="23"/>
          <w:szCs w:val="23"/>
        </w:rPr>
        <w:t>The student should fill out the top of this form and the first three rows of the chart, then meet with the teacher to discuss the rest of the chart.  The student and teacher agree to the rest of the chart, each sign at the bottom, and the teacher keeps the contract with their records.</w:t>
      </w:r>
      <w:r w:rsidRPr="00BE7624">
        <w:rPr>
          <w:rFonts w:ascii="Bookman Old Style" w:hAnsi="Bookman Old Style"/>
          <w:sz w:val="23"/>
          <w:szCs w:val="23"/>
        </w:rPr>
        <w:br/>
      </w:r>
    </w:p>
    <w:p w:rsidR="00DD4628" w:rsidRDefault="00DD4628" w:rsidP="008C6DDF">
      <w:pPr>
        <w:rPr>
          <w:rFonts w:ascii="Bookman Old Style" w:hAnsi="Bookman Old Style"/>
          <w:sz w:val="32"/>
          <w:szCs w:val="32"/>
        </w:rPr>
      </w:pPr>
      <w:r w:rsidRPr="00DD4628">
        <w:rPr>
          <w:rFonts w:ascii="Bookman Old Style" w:hAnsi="Bookman Old Style"/>
          <w:sz w:val="32"/>
          <w:szCs w:val="32"/>
        </w:rPr>
        <w:t>Student Name: ____________________________________</w:t>
      </w:r>
      <w:r w:rsidR="008C6DDF">
        <w:rPr>
          <w:rFonts w:ascii="Bookman Old Style" w:hAnsi="Bookman Old Style"/>
          <w:sz w:val="32"/>
          <w:szCs w:val="32"/>
        </w:rPr>
        <w:t xml:space="preserve"> Date: _________</w:t>
      </w:r>
    </w:p>
    <w:p w:rsidR="008C6DDF" w:rsidRDefault="008C6DDF" w:rsidP="008C6DDF">
      <w:pPr>
        <w:rPr>
          <w:rFonts w:ascii="Bookman Old Style" w:hAnsi="Bookman Old Style"/>
          <w:sz w:val="32"/>
          <w:szCs w:val="32"/>
        </w:rPr>
      </w:pPr>
    </w:p>
    <w:p w:rsidR="008C6DDF" w:rsidRDefault="008C6DDF" w:rsidP="008C6DDF">
      <w:pPr>
        <w:rPr>
          <w:rFonts w:ascii="Bookman Old Style" w:hAnsi="Bookman Old Style"/>
          <w:sz w:val="32"/>
          <w:szCs w:val="32"/>
        </w:rPr>
      </w:pPr>
      <w:r>
        <w:rPr>
          <w:rFonts w:ascii="Bookman Old Style" w:hAnsi="Bookman Old Style"/>
          <w:sz w:val="32"/>
          <w:szCs w:val="32"/>
        </w:rPr>
        <w:t>Course:  ______________________   Period: _________</w:t>
      </w:r>
    </w:p>
    <w:p w:rsidR="00A91265" w:rsidRPr="00BE7624" w:rsidRDefault="00A91265" w:rsidP="008C6DDF">
      <w:pPr>
        <w:rPr>
          <w:rFonts w:ascii="Bookman Old Style" w:hAnsi="Bookman Old Style"/>
          <w:sz w:val="20"/>
          <w:szCs w:val="20"/>
        </w:rPr>
      </w:pPr>
    </w:p>
    <w:tbl>
      <w:tblPr>
        <w:tblStyle w:val="TableGrid"/>
        <w:tblW w:w="0" w:type="auto"/>
        <w:tblInd w:w="360" w:type="dxa"/>
        <w:tblLook w:val="04A0" w:firstRow="1" w:lastRow="0" w:firstColumn="1" w:lastColumn="0" w:noHBand="0" w:noVBand="1"/>
      </w:tblPr>
      <w:tblGrid>
        <w:gridCol w:w="4765"/>
        <w:gridCol w:w="5665"/>
      </w:tblGrid>
      <w:tr w:rsidR="008C6DDF" w:rsidTr="00D05BAE">
        <w:tc>
          <w:tcPr>
            <w:tcW w:w="4765" w:type="dxa"/>
          </w:tcPr>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r>
              <w:rPr>
                <w:rFonts w:ascii="Bookman Old Style" w:hAnsi="Bookman Old Style"/>
                <w:sz w:val="24"/>
                <w:szCs w:val="24"/>
              </w:rPr>
              <w:t xml:space="preserve">Name of Major Assessment </w:t>
            </w:r>
          </w:p>
          <w:p w:rsidR="008C6DDF" w:rsidRDefault="008C6DDF" w:rsidP="00D05BAE">
            <w:pPr>
              <w:jc w:val="center"/>
              <w:rPr>
                <w:rFonts w:ascii="Bookman Old Style" w:hAnsi="Bookman Old Style"/>
                <w:sz w:val="24"/>
                <w:szCs w:val="24"/>
              </w:rPr>
            </w:pPr>
          </w:p>
        </w:tc>
        <w:tc>
          <w:tcPr>
            <w:tcW w:w="5665" w:type="dxa"/>
          </w:tcPr>
          <w:p w:rsidR="008C6DDF" w:rsidRDefault="008C6DDF"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D05BAE" w:rsidRDefault="00D05BAE" w:rsidP="008C6DDF">
            <w:pPr>
              <w:jc w:val="center"/>
              <w:rPr>
                <w:rFonts w:ascii="Bookman Old Style" w:hAnsi="Bookman Old Style"/>
                <w:sz w:val="24"/>
                <w:szCs w:val="24"/>
              </w:rPr>
            </w:pPr>
            <w:r>
              <w:rPr>
                <w:rFonts w:ascii="Bookman Old Style" w:hAnsi="Bookman Old Style"/>
                <w:sz w:val="24"/>
                <w:szCs w:val="24"/>
              </w:rPr>
              <w:t>Date</w:t>
            </w:r>
            <w:r w:rsidR="008C6DDF">
              <w:rPr>
                <w:rFonts w:ascii="Bookman Old Style" w:hAnsi="Bookman Old Style"/>
                <w:sz w:val="24"/>
                <w:szCs w:val="24"/>
              </w:rPr>
              <w:t xml:space="preserve"> Major Assessment grade was  posted </w:t>
            </w:r>
          </w:p>
        </w:tc>
        <w:tc>
          <w:tcPr>
            <w:tcW w:w="5665" w:type="dxa"/>
          </w:tcPr>
          <w:p w:rsidR="00D05BAE" w:rsidRDefault="00D05BAE" w:rsidP="00D05BAE">
            <w:pPr>
              <w:rPr>
                <w:rFonts w:ascii="Bookman Old Style" w:hAnsi="Bookman Old Style"/>
                <w:sz w:val="24"/>
                <w:szCs w:val="24"/>
              </w:rPr>
            </w:pPr>
          </w:p>
          <w:p w:rsidR="00D05BAE" w:rsidRDefault="00D05BAE" w:rsidP="00D05BAE">
            <w:pPr>
              <w:rPr>
                <w:rFonts w:ascii="Bookman Old Style" w:hAnsi="Bookman Old Style"/>
                <w:sz w:val="24"/>
                <w:szCs w:val="24"/>
              </w:rPr>
            </w:pPr>
          </w:p>
          <w:p w:rsidR="00D05BAE" w:rsidRDefault="00D05BAE" w:rsidP="00D05BAE">
            <w:pPr>
              <w:rPr>
                <w:rFonts w:ascii="Bookman Old Style" w:hAnsi="Bookman Old Style"/>
                <w:sz w:val="24"/>
                <w:szCs w:val="24"/>
              </w:rPr>
            </w:pPr>
          </w:p>
          <w:p w:rsidR="00D05BAE" w:rsidRDefault="00D05BAE"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D05BAE" w:rsidRDefault="008C6DDF" w:rsidP="00D05BAE">
            <w:pPr>
              <w:jc w:val="center"/>
              <w:rPr>
                <w:rFonts w:ascii="Bookman Old Style" w:hAnsi="Bookman Old Style"/>
                <w:sz w:val="24"/>
                <w:szCs w:val="24"/>
              </w:rPr>
            </w:pPr>
            <w:r>
              <w:rPr>
                <w:rFonts w:ascii="Bookman Old Style" w:hAnsi="Bookman Old Style"/>
                <w:sz w:val="24"/>
                <w:szCs w:val="24"/>
              </w:rPr>
              <w:t>Grade on the Major Assessment</w:t>
            </w:r>
          </w:p>
          <w:p w:rsidR="00D05BAE" w:rsidRDefault="00D05BAE" w:rsidP="00D05BAE">
            <w:pPr>
              <w:jc w:val="center"/>
              <w:rPr>
                <w:rFonts w:ascii="Bookman Old Style" w:hAnsi="Bookman Old Style"/>
                <w:sz w:val="24"/>
                <w:szCs w:val="24"/>
              </w:rPr>
            </w:pPr>
          </w:p>
        </w:tc>
        <w:tc>
          <w:tcPr>
            <w:tcW w:w="5665" w:type="dxa"/>
          </w:tcPr>
          <w:p w:rsidR="00D05BAE" w:rsidRDefault="00D05BAE"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p>
          <w:p w:rsidR="00D05BAE" w:rsidRDefault="008C6DDF" w:rsidP="00D05BAE">
            <w:pPr>
              <w:jc w:val="center"/>
              <w:rPr>
                <w:rFonts w:ascii="Bookman Old Style" w:hAnsi="Bookman Old Style"/>
                <w:sz w:val="24"/>
                <w:szCs w:val="24"/>
              </w:rPr>
            </w:pPr>
            <w:r>
              <w:rPr>
                <w:rFonts w:ascii="Bookman Old Style" w:hAnsi="Bookman Old Style"/>
                <w:sz w:val="24"/>
                <w:szCs w:val="24"/>
              </w:rPr>
              <w:t>Remediation activities</w:t>
            </w:r>
          </w:p>
          <w:p w:rsidR="00D05BAE" w:rsidRDefault="00D05BAE" w:rsidP="00D05BAE">
            <w:pPr>
              <w:jc w:val="center"/>
              <w:rPr>
                <w:rFonts w:ascii="Bookman Old Style" w:hAnsi="Bookman Old Style"/>
                <w:sz w:val="24"/>
                <w:szCs w:val="24"/>
              </w:rPr>
            </w:pPr>
          </w:p>
        </w:tc>
        <w:tc>
          <w:tcPr>
            <w:tcW w:w="5665" w:type="dxa"/>
          </w:tcPr>
          <w:p w:rsidR="00D05BAE" w:rsidRDefault="00D05BAE"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tc>
      </w:tr>
      <w:tr w:rsidR="008C6DDF" w:rsidTr="00D05BAE">
        <w:tc>
          <w:tcPr>
            <w:tcW w:w="4765" w:type="dxa"/>
          </w:tcPr>
          <w:p w:rsidR="008C6DDF" w:rsidRDefault="008C6DDF" w:rsidP="008C6DDF">
            <w:pPr>
              <w:jc w:val="center"/>
              <w:rPr>
                <w:rFonts w:ascii="Bookman Old Style" w:hAnsi="Bookman Old Style"/>
                <w:sz w:val="24"/>
                <w:szCs w:val="24"/>
              </w:rPr>
            </w:pPr>
          </w:p>
          <w:p w:rsidR="008C6DDF" w:rsidRDefault="008C6DDF" w:rsidP="008C6DDF">
            <w:pPr>
              <w:jc w:val="center"/>
              <w:rPr>
                <w:rFonts w:ascii="Bookman Old Style" w:hAnsi="Bookman Old Style"/>
                <w:sz w:val="24"/>
                <w:szCs w:val="24"/>
              </w:rPr>
            </w:pPr>
            <w:r>
              <w:rPr>
                <w:rFonts w:ascii="Bookman Old Style" w:hAnsi="Bookman Old Style"/>
                <w:sz w:val="24"/>
                <w:szCs w:val="24"/>
              </w:rPr>
              <w:t>Due date for remediation activities</w:t>
            </w:r>
          </w:p>
          <w:p w:rsidR="008C6DDF" w:rsidRDefault="008C6DDF" w:rsidP="008C6DDF">
            <w:pPr>
              <w:rPr>
                <w:rFonts w:ascii="Bookman Old Style" w:hAnsi="Bookman Old Style"/>
                <w:sz w:val="24"/>
                <w:szCs w:val="24"/>
              </w:rPr>
            </w:pPr>
            <w:r>
              <w:rPr>
                <w:rFonts w:ascii="Bookman Old Style" w:hAnsi="Bookman Old Style"/>
                <w:sz w:val="24"/>
                <w:szCs w:val="24"/>
              </w:rPr>
              <w:t xml:space="preserve"> </w:t>
            </w:r>
          </w:p>
        </w:tc>
        <w:tc>
          <w:tcPr>
            <w:tcW w:w="5665" w:type="dxa"/>
          </w:tcPr>
          <w:p w:rsidR="008C6DDF" w:rsidRDefault="008C6DDF"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D05BAE" w:rsidRDefault="008C6DDF" w:rsidP="00D05BAE">
            <w:pPr>
              <w:jc w:val="center"/>
              <w:rPr>
                <w:rFonts w:ascii="Bookman Old Style" w:hAnsi="Bookman Old Style"/>
                <w:sz w:val="24"/>
                <w:szCs w:val="24"/>
              </w:rPr>
            </w:pPr>
            <w:r>
              <w:rPr>
                <w:rFonts w:ascii="Bookman Old Style" w:hAnsi="Bookman Old Style"/>
                <w:sz w:val="24"/>
                <w:szCs w:val="24"/>
              </w:rPr>
              <w:t>Type of recovery assignment</w:t>
            </w:r>
          </w:p>
          <w:p w:rsidR="00D05BAE" w:rsidRDefault="00D05BAE" w:rsidP="00D05BAE">
            <w:pPr>
              <w:jc w:val="center"/>
              <w:rPr>
                <w:rFonts w:ascii="Bookman Old Style" w:hAnsi="Bookman Old Style"/>
                <w:sz w:val="24"/>
                <w:szCs w:val="24"/>
              </w:rPr>
            </w:pPr>
          </w:p>
        </w:tc>
        <w:tc>
          <w:tcPr>
            <w:tcW w:w="5665" w:type="dxa"/>
          </w:tcPr>
          <w:p w:rsidR="00D05BAE" w:rsidRDefault="00D05BAE" w:rsidP="00D05BAE">
            <w:pPr>
              <w:rPr>
                <w:rFonts w:ascii="Bookman Old Style" w:hAnsi="Bookman Old Style"/>
                <w:sz w:val="24"/>
                <w:szCs w:val="24"/>
              </w:rPr>
            </w:pPr>
          </w:p>
        </w:tc>
      </w:tr>
      <w:tr w:rsidR="008C6DDF" w:rsidTr="00D05BAE">
        <w:tc>
          <w:tcPr>
            <w:tcW w:w="4765" w:type="dxa"/>
          </w:tcPr>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r>
              <w:rPr>
                <w:rFonts w:ascii="Bookman Old Style" w:hAnsi="Bookman Old Style"/>
                <w:sz w:val="24"/>
                <w:szCs w:val="24"/>
              </w:rPr>
              <w:t>Date of recovery assignment</w:t>
            </w:r>
          </w:p>
          <w:p w:rsidR="008C6DDF" w:rsidRDefault="008C6DDF" w:rsidP="008C6DDF">
            <w:pPr>
              <w:rPr>
                <w:rFonts w:ascii="Bookman Old Style" w:hAnsi="Bookman Old Style"/>
                <w:sz w:val="24"/>
                <w:szCs w:val="24"/>
              </w:rPr>
            </w:pPr>
          </w:p>
        </w:tc>
        <w:tc>
          <w:tcPr>
            <w:tcW w:w="5665" w:type="dxa"/>
          </w:tcPr>
          <w:p w:rsidR="008C6DDF" w:rsidRDefault="008C6DDF" w:rsidP="00D05BAE">
            <w:pPr>
              <w:rPr>
                <w:rFonts w:ascii="Bookman Old Style" w:hAnsi="Bookman Old Style"/>
                <w:sz w:val="24"/>
                <w:szCs w:val="24"/>
              </w:rPr>
            </w:pPr>
          </w:p>
        </w:tc>
      </w:tr>
    </w:tbl>
    <w:p w:rsidR="00D05BAE" w:rsidRPr="00D05BAE" w:rsidRDefault="00D05BAE" w:rsidP="00D05BAE">
      <w:pPr>
        <w:ind w:left="360"/>
        <w:rPr>
          <w:rFonts w:ascii="Bookman Old Style" w:hAnsi="Bookman Old Style"/>
          <w:sz w:val="24"/>
          <w:szCs w:val="24"/>
        </w:rPr>
      </w:pPr>
    </w:p>
    <w:p w:rsidR="00BE7624" w:rsidRDefault="00BE7624" w:rsidP="00D05BAE">
      <w:pPr>
        <w:ind w:left="720"/>
        <w:rPr>
          <w:rFonts w:ascii="Bookman Old Style" w:hAnsi="Bookman Old Style"/>
          <w:sz w:val="24"/>
          <w:szCs w:val="24"/>
        </w:rPr>
      </w:pPr>
    </w:p>
    <w:p w:rsidR="00D05BAE" w:rsidRDefault="00D05BAE" w:rsidP="00D05BAE">
      <w:pPr>
        <w:ind w:left="720"/>
        <w:rPr>
          <w:rFonts w:ascii="Bookman Old Style" w:hAnsi="Bookman Old Style"/>
          <w:sz w:val="24"/>
          <w:szCs w:val="24"/>
        </w:rPr>
      </w:pPr>
      <w:r w:rsidRPr="00D05BAE">
        <w:rPr>
          <w:rFonts w:ascii="Bookman Old Style" w:hAnsi="Bookman Old Style"/>
          <w:sz w:val="24"/>
          <w:szCs w:val="24"/>
        </w:rPr>
        <w:t>Student Signature: ______________________________________</w:t>
      </w:r>
      <w:r w:rsidR="008C6DDF">
        <w:rPr>
          <w:rFonts w:ascii="Bookman Old Style" w:hAnsi="Bookman Old Style"/>
          <w:sz w:val="24"/>
          <w:szCs w:val="24"/>
        </w:rPr>
        <w:t xml:space="preserve">    Date: ____________</w:t>
      </w:r>
      <w:r w:rsidRPr="00D05BAE">
        <w:rPr>
          <w:rFonts w:ascii="Bookman Old Style" w:hAnsi="Bookman Old Style"/>
          <w:sz w:val="24"/>
          <w:szCs w:val="24"/>
        </w:rPr>
        <w:t>_____</w:t>
      </w:r>
    </w:p>
    <w:p w:rsidR="008C6DDF" w:rsidRPr="00D05BAE" w:rsidRDefault="008C6DDF" w:rsidP="00D05BAE">
      <w:pPr>
        <w:ind w:left="720"/>
        <w:rPr>
          <w:rFonts w:ascii="Bookman Old Style" w:hAnsi="Bookman Old Style"/>
          <w:sz w:val="24"/>
          <w:szCs w:val="24"/>
        </w:rPr>
      </w:pPr>
    </w:p>
    <w:p w:rsidR="00D05BAE" w:rsidRDefault="00D05BAE" w:rsidP="00D05BAE">
      <w:pPr>
        <w:ind w:left="720"/>
        <w:rPr>
          <w:rFonts w:ascii="Bookman Old Style" w:hAnsi="Bookman Old Style"/>
          <w:sz w:val="24"/>
          <w:szCs w:val="24"/>
        </w:rPr>
      </w:pPr>
      <w:r w:rsidRPr="00D05BAE">
        <w:rPr>
          <w:rFonts w:ascii="Bookman Old Style" w:hAnsi="Bookman Old Style"/>
          <w:sz w:val="24"/>
          <w:szCs w:val="24"/>
        </w:rPr>
        <w:t>Teacher Approval: ____________________</w:t>
      </w:r>
      <w:r w:rsidR="008C6DDF">
        <w:rPr>
          <w:rFonts w:ascii="Bookman Old Style" w:hAnsi="Bookman Old Style"/>
          <w:sz w:val="24"/>
          <w:szCs w:val="24"/>
        </w:rPr>
        <w:t>_______________</w:t>
      </w:r>
      <w:r w:rsidRPr="00D05BAE">
        <w:rPr>
          <w:rFonts w:ascii="Bookman Old Style" w:hAnsi="Bookman Old Style"/>
          <w:sz w:val="24"/>
          <w:szCs w:val="24"/>
        </w:rPr>
        <w:t>____</w:t>
      </w:r>
      <w:r w:rsidR="008C6DDF">
        <w:rPr>
          <w:rFonts w:ascii="Bookman Old Style" w:hAnsi="Bookman Old Style"/>
          <w:sz w:val="24"/>
          <w:szCs w:val="24"/>
        </w:rPr>
        <w:t xml:space="preserve">     Date: </w:t>
      </w:r>
      <w:r w:rsidRPr="00D05BAE">
        <w:rPr>
          <w:rFonts w:ascii="Bookman Old Style" w:hAnsi="Bookman Old Style"/>
          <w:sz w:val="24"/>
          <w:szCs w:val="24"/>
        </w:rPr>
        <w:t>____</w:t>
      </w:r>
      <w:r w:rsidR="008C6DDF">
        <w:rPr>
          <w:rFonts w:ascii="Bookman Old Style" w:hAnsi="Bookman Old Style"/>
          <w:sz w:val="24"/>
          <w:szCs w:val="24"/>
        </w:rPr>
        <w:t>_______</w:t>
      </w:r>
      <w:r w:rsidRPr="00D05BAE">
        <w:rPr>
          <w:rFonts w:ascii="Bookman Old Style" w:hAnsi="Bookman Old Style"/>
          <w:sz w:val="24"/>
          <w:szCs w:val="24"/>
        </w:rPr>
        <w:t>_____</w:t>
      </w:r>
    </w:p>
    <w:p w:rsidR="008C6DDF" w:rsidRDefault="008C6DDF" w:rsidP="008C6DDF">
      <w:pPr>
        <w:pStyle w:val="NoSpacing"/>
        <w:rPr>
          <w:rFonts w:ascii="Arial" w:hAnsi="Arial" w:cs="Arial"/>
          <w:b/>
          <w:bCs/>
          <w:sz w:val="24"/>
          <w:szCs w:val="24"/>
        </w:rPr>
      </w:pPr>
    </w:p>
    <w:p w:rsidR="008C6DDF" w:rsidRDefault="008C6DDF" w:rsidP="008C6DDF">
      <w:pPr>
        <w:pStyle w:val="NoSpacing"/>
        <w:rPr>
          <w:rFonts w:ascii="Arial" w:hAnsi="Arial" w:cs="Arial"/>
          <w:b/>
          <w:bCs/>
          <w:sz w:val="24"/>
          <w:szCs w:val="24"/>
        </w:rPr>
      </w:pPr>
    </w:p>
    <w:p w:rsidR="008C6DDF" w:rsidRDefault="008C6DDF" w:rsidP="008C6DDF">
      <w:pPr>
        <w:pStyle w:val="NoSpacing"/>
        <w:rPr>
          <w:rFonts w:ascii="Arial" w:hAnsi="Arial" w:cs="Arial"/>
          <w:b/>
          <w:bCs/>
          <w:sz w:val="24"/>
          <w:szCs w:val="24"/>
        </w:rPr>
      </w:pPr>
      <w:bookmarkStart w:id="0" w:name="_GoBack"/>
      <w:bookmarkEnd w:id="0"/>
      <w:r>
        <w:rPr>
          <w:rFonts w:ascii="Arial" w:hAnsi="Arial" w:cs="Arial"/>
          <w:b/>
          <w:bCs/>
          <w:sz w:val="24"/>
          <w:szCs w:val="24"/>
        </w:rPr>
        <w:t>Chattahoochee High School Provision for Improving Grades</w:t>
      </w:r>
    </w:p>
    <w:p w:rsidR="008C6DDF" w:rsidRDefault="008C6DDF" w:rsidP="008C6DDF">
      <w:pPr>
        <w:pStyle w:val="NoSpacing"/>
        <w:rPr>
          <w:rFonts w:ascii="Arial" w:hAnsi="Arial" w:cs="Arial"/>
          <w:sz w:val="24"/>
          <w:szCs w:val="24"/>
        </w:rPr>
      </w:pPr>
      <w:r>
        <w:rPr>
          <w:rFonts w:ascii="Arial" w:hAnsi="Arial" w:cs="Arial"/>
          <w:sz w:val="24"/>
          <w:szCs w:val="24"/>
        </w:rPr>
        <w:t> </w:t>
      </w:r>
    </w:p>
    <w:p w:rsidR="008C6DDF" w:rsidRDefault="008C6DDF" w:rsidP="008C6DDF">
      <w:pPr>
        <w:pStyle w:val="NoSpacing"/>
        <w:numPr>
          <w:ilvl w:val="0"/>
          <w:numId w:val="3"/>
        </w:numPr>
        <w:ind w:left="360"/>
        <w:rPr>
          <w:rFonts w:ascii="Arial" w:hAnsi="Arial" w:cs="Arial"/>
          <w:sz w:val="24"/>
          <w:szCs w:val="24"/>
        </w:rPr>
      </w:pPr>
      <w:r>
        <w:rPr>
          <w:rFonts w:ascii="Arial" w:hAnsi="Arial" w:cs="Arial"/>
          <w:sz w:val="24"/>
          <w:szCs w:val="24"/>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8C6DDF" w:rsidRDefault="008C6DDF" w:rsidP="008C6DDF">
      <w:pPr>
        <w:pStyle w:val="NoSpacing"/>
        <w:ind w:firstLine="60"/>
        <w:rPr>
          <w:rFonts w:ascii="Arial" w:hAnsi="Arial" w:cs="Arial"/>
          <w:sz w:val="24"/>
          <w:szCs w:val="24"/>
        </w:rPr>
      </w:pPr>
    </w:p>
    <w:p w:rsidR="008C6DDF" w:rsidRPr="008C6DDF" w:rsidRDefault="008C6DDF" w:rsidP="008C6DDF">
      <w:pPr>
        <w:pStyle w:val="NoSpacing"/>
        <w:numPr>
          <w:ilvl w:val="0"/>
          <w:numId w:val="3"/>
        </w:numPr>
        <w:ind w:left="360"/>
        <w:rPr>
          <w:rFonts w:ascii="Arial" w:hAnsi="Arial" w:cs="Arial"/>
          <w:sz w:val="24"/>
          <w:szCs w:val="24"/>
        </w:rPr>
      </w:pPr>
      <w:r>
        <w:rPr>
          <w:rFonts w:ascii="Arial" w:hAnsi="Arial" w:cs="Arial"/>
          <w:sz w:val="24"/>
          <w:szCs w:val="24"/>
        </w:rPr>
        <w:t xml:space="preserve">Students should contact the teacher concerning recovery opportunities within 5 school days of being informed of the </w:t>
      </w:r>
      <w:r w:rsidRPr="008C6DDF">
        <w:rPr>
          <w:rFonts w:ascii="Arial" w:hAnsi="Arial" w:cs="Arial"/>
          <w:sz w:val="24"/>
          <w:szCs w:val="24"/>
        </w:rPr>
        <w:t>grade on the assessment in class.  Students are allowed one attempt at recovery per major assessment category listed in the course syllabus. All recovery work must be completed 10 days before the end of the semester.</w:t>
      </w:r>
    </w:p>
    <w:p w:rsidR="008C6DDF" w:rsidRDefault="008C6DDF" w:rsidP="008C6DDF">
      <w:pPr>
        <w:pStyle w:val="ListParagraph"/>
        <w:rPr>
          <w:rFonts w:ascii="Arial" w:hAnsi="Arial" w:cs="Arial"/>
          <w:sz w:val="24"/>
          <w:szCs w:val="24"/>
        </w:rPr>
      </w:pPr>
    </w:p>
    <w:p w:rsidR="008C6DDF" w:rsidRDefault="008C6DDF" w:rsidP="008C6DDF">
      <w:pPr>
        <w:pStyle w:val="NoSpacing"/>
        <w:numPr>
          <w:ilvl w:val="0"/>
          <w:numId w:val="3"/>
        </w:numPr>
        <w:ind w:left="360"/>
        <w:rPr>
          <w:rFonts w:ascii="Arial" w:hAnsi="Arial" w:cs="Arial"/>
          <w:sz w:val="24"/>
          <w:szCs w:val="24"/>
        </w:rPr>
      </w:pPr>
      <w:r>
        <w:rPr>
          <w:rFonts w:ascii="Arial" w:hAnsi="Arial" w:cs="Arial"/>
          <w:sz w:val="24"/>
          <w:szCs w:val="24"/>
        </w:rPr>
        <w:t>The grade on the recovery assignment will replace the original grade if the recovery grade is equal to or below 75%.  If the recovery grade is above 75%, the original grade will be replaced with a 75%.  </w:t>
      </w:r>
    </w:p>
    <w:p w:rsidR="008C6DDF" w:rsidRDefault="008C6DDF" w:rsidP="008C6DDF">
      <w:pPr>
        <w:pStyle w:val="ListParagraph"/>
        <w:rPr>
          <w:rFonts w:ascii="Arial" w:hAnsi="Arial" w:cs="Arial"/>
          <w:sz w:val="24"/>
          <w:szCs w:val="24"/>
        </w:rPr>
      </w:pPr>
    </w:p>
    <w:p w:rsidR="008C6DDF" w:rsidRDefault="008C6DDF" w:rsidP="008C6DDF">
      <w:pPr>
        <w:pStyle w:val="NoSpacing"/>
        <w:ind w:left="360"/>
        <w:rPr>
          <w:rFonts w:ascii="Arial" w:hAnsi="Arial" w:cs="Arial"/>
          <w:sz w:val="24"/>
          <w:szCs w:val="24"/>
        </w:rPr>
      </w:pPr>
    </w:p>
    <w:p w:rsidR="008C6DDF" w:rsidRDefault="008C6DDF" w:rsidP="008C6DDF">
      <w:pPr>
        <w:rPr>
          <w:rFonts w:ascii="Arial" w:hAnsi="Arial" w:cs="Arial"/>
          <w:b/>
          <w:sz w:val="24"/>
          <w:szCs w:val="24"/>
        </w:rPr>
      </w:pPr>
      <w:r>
        <w:rPr>
          <w:rFonts w:ascii="Arial" w:hAnsi="Arial" w:cs="Arial"/>
          <w:b/>
          <w:sz w:val="24"/>
          <w:szCs w:val="24"/>
        </w:rPr>
        <w:t>School Board Policy IHA Grading and Reporting System</w:t>
      </w:r>
    </w:p>
    <w:p w:rsidR="008C6DDF" w:rsidRDefault="008C6DDF" w:rsidP="008C6DDF">
      <w:pPr>
        <w:spacing w:after="0" w:line="240" w:lineRule="auto"/>
        <w:textAlignment w:val="top"/>
        <w:rPr>
          <w:rFonts w:ascii="Arial" w:eastAsia="Times New Roman" w:hAnsi="Arial" w:cs="Arial"/>
          <w:sz w:val="24"/>
          <w:szCs w:val="24"/>
        </w:rPr>
      </w:pPr>
      <w:r>
        <w:rPr>
          <w:rFonts w:ascii="Arial" w:eastAsia="Times New Roman" w:hAnsi="Arial" w:cs="Arial"/>
          <w:sz w:val="24"/>
          <w:szCs w:val="24"/>
        </w:rPr>
        <w:t>Provision for Improving Grades</w:t>
      </w:r>
    </w:p>
    <w:p w:rsidR="008C6DDF" w:rsidRDefault="008C6DDF" w:rsidP="008C6DDF">
      <w:pPr>
        <w:spacing w:after="0" w:line="240" w:lineRule="auto"/>
        <w:textAlignment w:val="top"/>
        <w:rPr>
          <w:rFonts w:ascii="Arial" w:eastAsia="Times New Roman" w:hAnsi="Arial" w:cs="Arial"/>
          <w:sz w:val="24"/>
          <w:szCs w:val="24"/>
        </w:rPr>
      </w:pPr>
      <w:r>
        <w:rPr>
          <w:rFonts w:ascii="Arial" w:eastAsia="Times New Roman" w:hAnsi="Arial" w:cs="Arial"/>
          <w:sz w:val="24"/>
          <w:szCs w:val="24"/>
        </w:rPr>
        <w:t> </w:t>
      </w:r>
    </w:p>
    <w:p w:rsidR="008C6DDF" w:rsidRDefault="008C6DDF" w:rsidP="008C6DDF">
      <w:pPr>
        <w:pStyle w:val="ListParagraph"/>
        <w:numPr>
          <w:ilvl w:val="0"/>
          <w:numId w:val="4"/>
        </w:numPr>
        <w:spacing w:after="0" w:line="240" w:lineRule="auto"/>
        <w:textAlignment w:val="top"/>
        <w:rPr>
          <w:rFonts w:ascii="Arial" w:eastAsia="Times New Roman" w:hAnsi="Arial" w:cs="Arial"/>
          <w:sz w:val="24"/>
          <w:szCs w:val="24"/>
        </w:rPr>
      </w:pPr>
      <w:r>
        <w:rPr>
          <w:rFonts w:ascii="Arial" w:eastAsia="Times New Roman" w:hAnsi="Arial" w:cs="Arial"/>
          <w:sz w:val="24"/>
          <w:szCs w:val="24"/>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8C6DDF" w:rsidRDefault="008C6DDF" w:rsidP="008C6DDF">
      <w:pPr>
        <w:pStyle w:val="ListParagraph"/>
        <w:numPr>
          <w:ilvl w:val="0"/>
          <w:numId w:val="4"/>
        </w:numPr>
        <w:spacing w:after="0" w:line="240" w:lineRule="auto"/>
        <w:textAlignment w:val="top"/>
        <w:rPr>
          <w:rFonts w:ascii="Arial" w:eastAsia="Times New Roman" w:hAnsi="Arial" w:cs="Arial"/>
          <w:sz w:val="24"/>
          <w:szCs w:val="24"/>
        </w:rPr>
      </w:pPr>
      <w:r>
        <w:rPr>
          <w:rFonts w:ascii="Arial" w:eastAsia="Times New Roman" w:hAnsi="Arial" w:cs="Arial"/>
          <w:sz w:val="24"/>
          <w:szCs w:val="24"/>
        </w:rPr>
        <w:t>Teachers will determine when and how students with extenuating circumstances may improve their grades.</w:t>
      </w:r>
    </w:p>
    <w:p w:rsidR="008C6DDF" w:rsidRPr="00AB7D34" w:rsidRDefault="008C6DDF" w:rsidP="008C6DDF"/>
    <w:p w:rsidR="008C6DDF" w:rsidRDefault="008C6DDF" w:rsidP="008C6DDF">
      <w:pPr>
        <w:rPr>
          <w:rFonts w:ascii="Bookman Old Style" w:hAnsi="Bookman Old Style"/>
          <w:sz w:val="24"/>
          <w:szCs w:val="24"/>
        </w:rPr>
      </w:pPr>
    </w:p>
    <w:p w:rsidR="008C6DDF" w:rsidRPr="00D05BAE" w:rsidRDefault="008C6DDF" w:rsidP="00D05BAE">
      <w:pPr>
        <w:ind w:left="720"/>
        <w:rPr>
          <w:rFonts w:ascii="Bookman Old Style" w:hAnsi="Bookman Old Style"/>
          <w:sz w:val="24"/>
          <w:szCs w:val="24"/>
        </w:rPr>
      </w:pPr>
    </w:p>
    <w:sectPr w:rsidR="008C6DDF" w:rsidRPr="00D05BAE" w:rsidSect="00A91265">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E14034"/>
    <w:multiLevelType w:val="hybridMultilevel"/>
    <w:tmpl w:val="24AE6D50"/>
    <w:lvl w:ilvl="0" w:tplc="652CDF90">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5"/>
    <w:rsid w:val="005F7AF5"/>
    <w:rsid w:val="007653F9"/>
    <w:rsid w:val="007A77ED"/>
    <w:rsid w:val="008C6DDF"/>
    <w:rsid w:val="009061B6"/>
    <w:rsid w:val="009A7581"/>
    <w:rsid w:val="00A86FB7"/>
    <w:rsid w:val="00A91265"/>
    <w:rsid w:val="00BB54C5"/>
    <w:rsid w:val="00BD5F15"/>
    <w:rsid w:val="00BD69FA"/>
    <w:rsid w:val="00BE7624"/>
    <w:rsid w:val="00D05BAE"/>
    <w:rsid w:val="00DD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75FC-E429-405D-BE57-BCC27DD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39"/>
    <w:rsid w:val="005F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628"/>
    <w:pPr>
      <w:ind w:left="720"/>
      <w:contextualSpacing/>
    </w:pPr>
  </w:style>
  <w:style w:type="character" w:styleId="CommentReference">
    <w:name w:val="annotation reference"/>
    <w:basedOn w:val="DefaultParagraphFont"/>
    <w:uiPriority w:val="99"/>
    <w:semiHidden/>
    <w:unhideWhenUsed/>
    <w:rsid w:val="00DD4628"/>
    <w:rPr>
      <w:sz w:val="16"/>
      <w:szCs w:val="16"/>
    </w:rPr>
  </w:style>
  <w:style w:type="paragraph" w:styleId="CommentText">
    <w:name w:val="annotation text"/>
    <w:basedOn w:val="Normal"/>
    <w:link w:val="CommentTextChar"/>
    <w:uiPriority w:val="99"/>
    <w:semiHidden/>
    <w:unhideWhenUsed/>
    <w:rsid w:val="00DD4628"/>
    <w:pPr>
      <w:spacing w:line="240" w:lineRule="auto"/>
    </w:pPr>
    <w:rPr>
      <w:sz w:val="20"/>
      <w:szCs w:val="20"/>
    </w:rPr>
  </w:style>
  <w:style w:type="character" w:customStyle="1" w:styleId="CommentTextChar">
    <w:name w:val="Comment Text Char"/>
    <w:basedOn w:val="DefaultParagraphFont"/>
    <w:link w:val="CommentText"/>
    <w:uiPriority w:val="99"/>
    <w:semiHidden/>
    <w:rsid w:val="00DD4628"/>
    <w:rPr>
      <w:sz w:val="20"/>
      <w:szCs w:val="20"/>
    </w:rPr>
  </w:style>
  <w:style w:type="paragraph" w:styleId="CommentSubject">
    <w:name w:val="annotation subject"/>
    <w:basedOn w:val="CommentText"/>
    <w:next w:val="CommentText"/>
    <w:link w:val="CommentSubjectChar"/>
    <w:uiPriority w:val="99"/>
    <w:semiHidden/>
    <w:unhideWhenUsed/>
    <w:rsid w:val="00DD4628"/>
    <w:rPr>
      <w:b/>
      <w:bCs/>
    </w:rPr>
  </w:style>
  <w:style w:type="character" w:customStyle="1" w:styleId="CommentSubjectChar">
    <w:name w:val="Comment Subject Char"/>
    <w:basedOn w:val="CommentTextChar"/>
    <w:link w:val="CommentSubject"/>
    <w:uiPriority w:val="99"/>
    <w:semiHidden/>
    <w:rsid w:val="00DD4628"/>
    <w:rPr>
      <w:b/>
      <w:bCs/>
      <w:sz w:val="20"/>
      <w:szCs w:val="20"/>
    </w:rPr>
  </w:style>
  <w:style w:type="paragraph" w:styleId="BalloonText">
    <w:name w:val="Balloon Text"/>
    <w:basedOn w:val="Normal"/>
    <w:link w:val="BalloonTextChar"/>
    <w:uiPriority w:val="99"/>
    <w:semiHidden/>
    <w:unhideWhenUsed/>
    <w:rsid w:val="00DD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28"/>
    <w:rPr>
      <w:rFonts w:ascii="Segoe UI" w:hAnsi="Segoe UI" w:cs="Segoe UI"/>
      <w:sz w:val="18"/>
      <w:szCs w:val="18"/>
    </w:rPr>
  </w:style>
  <w:style w:type="paragraph" w:styleId="NoSpacing">
    <w:name w:val="No Spacing"/>
    <w:basedOn w:val="Normal"/>
    <w:uiPriority w:val="1"/>
    <w:qFormat/>
    <w:rsid w:val="008C6DD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Reeder, Timothy</cp:lastModifiedBy>
  <cp:revision>6</cp:revision>
  <cp:lastPrinted>2017-05-25T11:49:00Z</cp:lastPrinted>
  <dcterms:created xsi:type="dcterms:W3CDTF">2017-05-30T12:20:00Z</dcterms:created>
  <dcterms:modified xsi:type="dcterms:W3CDTF">2017-08-16T14:47:00Z</dcterms:modified>
</cp:coreProperties>
</file>